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CE" w:rsidRDefault="000D17CE" w:rsidP="00FC6FB4">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empresas productoras extranjeras de frutos secos importados.</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0D17CE" w:rsidRDefault="000D17C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acuerdo con el "Reglamento de la República Popular China sobre el registro y la gestión de empresas productoras de alimentos importados en el extranjero" (Orden de la Administración General de Aduanas Nº 248), las condiciones sanitarias de las empresas productoras de frutos secos en el extranjero que solicitan el registro en China debe cumplir con las disposiciones pertinentes de las leyes, reglamentos y estándares chinos, de acuerdo con los requisitos del Protocolo de inspección y cuarentena de frutos secos exportados a China. Este formulario está destinado a las autoridades competentes extranjeras a cargo de las frutas secas importadas para realizar inspecciones oficiales de las empresas productoras de frutas secas con base en las principales condiciones y bases enumeradas y, al mismo tiempo, comparar los puntos de revisión que las </w:t>
      </w:r>
      <w:bookmarkStart w:id="0" w:name="_GoBack"/>
      <w:bookmarkEnd w:id="0"/>
      <w:r>
        <w:rPr>
          <w:rFonts w:ascii="Times New Roman" w:eastAsia="方正仿宋_GBK" w:cs="Times New Roman"/>
          <w:color w:val="000000"/>
          <w:kern w:val="0"/>
          <w:sz w:val="24"/>
          <w:szCs w:val="24"/>
        </w:rPr>
        <w:t xml:space="preserve">empresas fabricantes de frutas secas extranjeras deben completar; ingresar y enviar materiales de respaldo según las principales </w:t>
      </w:r>
      <w:r>
        <w:rPr>
          <w:rFonts w:ascii="Times New Roman" w:eastAsia="方正仿宋_GBK" w:cs="Times New Roman"/>
          <w:color w:val="000000"/>
          <w:kern w:val="0"/>
          <w:sz w:val="24"/>
          <w:szCs w:val="24"/>
        </w:rPr>
        <w:lastRenderedPageBreak/>
        <w:t>condiciones y bases enumeradas, y comparar y revisar Los puntos clave también se pueden utilizar para realizar un autoexamen y para la autoevaluación antes de que las empresas soliciten el registro.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las empresas productoras de frutas secas extranjeras deben tomar determinaciones de cumplimiento verazmente basadas en la situación real de las inspecciones comparativas.</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de los "Requisitos de llenado y materiales de certificación". " columna. Al mismo tiempo, se debe enviar un directorio de archivos adjuntos de materiales de certificación.</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"Frutas secas" se refiere a productos de frutas secas elaborados a partir de frutas frescas y procesados mediante procesos de deshidratación como el secado al sol y el secado.</w:t>
      </w:r>
    </w:p>
    <w:p w:rsidR="000D17CE" w:rsidRDefault="000D17CE">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widowControl/>
        <w:spacing w:line="324" w:lineRule="atLeast"/>
        <w:jc w:val="center"/>
        <w:rPr>
          <w:rFonts w:ascii="Times New Roman" w:eastAsia="方正黑体_GBK" w:cs="Times New Roman"/>
          <w:color w:val="000000"/>
          <w:kern w:val="0"/>
          <w:sz w:val="24"/>
          <w:szCs w:val="24"/>
        </w:rPr>
      </w:pPr>
      <w:r>
        <w:rPr>
          <w:rFonts w:ascii="Times New Roman" w:eastAsia="宋体" w:cs="Times New Roman"/>
          <w:color w:val="000000"/>
          <w:kern w:val="0"/>
          <w:sz w:val="27"/>
          <w:szCs w:val="27"/>
        </w:rPr>
        <w:t> </w:t>
      </w:r>
    </w:p>
    <w:tbl>
      <w:tblPr>
        <w:tblW w:w="14188" w:type="dxa"/>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1"/>
        <w:gridCol w:w="2830"/>
        <w:gridCol w:w="3000"/>
        <w:gridCol w:w="3207"/>
        <w:gridCol w:w="1571"/>
        <w:gridCol w:w="1869"/>
      </w:tblGrid>
      <w:tr w:rsidR="000D17CE">
        <w:trPr>
          <w:trHeight w:val="39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Llenado de requisitos y materiales de apoyo.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0D17CE">
        <w:trPr>
          <w:trHeight w:val="37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Situación básica de la empresa.</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1.1 Situación básica de la </w:t>
            </w:r>
            <w:r>
              <w:rPr>
                <w:rFonts w:ascii="Times New Roman" w:eastAsia="方正仿宋_GBK" w:cs="Times New Roman"/>
                <w:kern w:val="0"/>
                <w:sz w:val="24"/>
                <w:szCs w:val="24"/>
              </w:rPr>
              <w:lastRenderedPageBreak/>
              <w:t>empresa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Artículos 5, 6, 7 y 8 del "Reglamento de la </w:t>
            </w:r>
            <w:r>
              <w:rPr>
                <w:rFonts w:ascii="Times New Roman" w:eastAsia="方正仿宋_GBK" w:cs="Times New Roman"/>
                <w:color w:val="000000"/>
                <w:kern w:val="0"/>
                <w:sz w:val="24"/>
                <w:szCs w:val="24"/>
              </w:rPr>
              <w:lastRenderedPageBreak/>
              <w:t>República Popular China sobre el Registro y Gestión de Empresas Productoras de Alimentos Importados en el Extranjero" (Orden de la Administración General de Aduanas N°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protocolo sobre inspección y cuarentena de frutos secos exportados a China suscrito entre la autoridad competente del país solicitante y la Administración General de Aduanas.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Diligenciar 1. Formulario de información </w:t>
            </w:r>
            <w:r>
              <w:rPr>
                <w:rFonts w:ascii="Times New Roman" w:eastAsia="方正仿宋_GBK" w:cs="Times New Roman"/>
                <w:color w:val="000000"/>
                <w:kern w:val="0"/>
                <w:sz w:val="24"/>
                <w:szCs w:val="24"/>
              </w:rPr>
              <w:lastRenderedPageBreak/>
              <w:t xml:space="preserve">básica para empresas productoras en el exterior de frutos secos importados. </w:t>
            </w:r>
            <w:r>
              <w:rPr>
                <w:rFonts w:ascii="Times New Roman" w:eastAsia="方正仿宋_GBK" w:cs="Times New Roman"/>
                <w:kern w:val="0"/>
                <w:sz w:val="24"/>
                <w:szCs w:val="24"/>
              </w:rPr>
              <w:t>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Las empresas deben completar la información con </w:t>
            </w:r>
            <w:r>
              <w:rPr>
                <w:rFonts w:ascii="Times New Roman" w:eastAsia="方正仿宋_GBK" w:cs="Times New Roman"/>
                <w:color w:val="000000"/>
                <w:kern w:val="0"/>
                <w:sz w:val="24"/>
                <w:szCs w:val="24"/>
              </w:rPr>
              <w:lastRenderedPageBreak/>
              <w:t>veracidad y la información básica debe ser consistente con la información presentada por las autoridades competentes del país exportador y las condiciones reales de producción y procesamiento.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frutos secos que se exporten a China deben cumplir con el alcance del producto estipulado en los acuerdos, protocolos, memorandos, etc. pertinentes sobre inspección y cuarentena de frutos secos exportados a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de gestión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Un protocolo sobre inspección y cuarentena de frutos secos exportados a </w:t>
            </w:r>
            <w:r>
              <w:rPr>
                <w:rFonts w:ascii="Times New Roman" w:eastAsia="方正仿宋_GBK" w:cs="Times New Roman"/>
                <w:color w:val="000000"/>
                <w:kern w:val="0"/>
                <w:sz w:val="24"/>
                <w:szCs w:val="24"/>
              </w:rPr>
              <w:lastRenderedPageBreak/>
              <w:t>China firmado entre la autoridad competente del país solicitante y la Administración General de Aduanas .</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Proporcionar documentos del sistema de gestión sobre prevención y control de cuarentena vegetal, gestión de seguridad alimentaria, gestión de personal, uso de productos químicos, aceptación de materias primas, gestión de almacenamiento, inspección de exportación de productos terminados, retirada de productos no calificados, </w:t>
            </w:r>
            <w:r>
              <w:rPr>
                <w:rFonts w:ascii="Times New Roman" w:eastAsia="方正仿宋_GBK" w:cs="Times New Roman"/>
                <w:color w:val="000000"/>
                <w:kern w:val="0"/>
                <w:sz w:val="24"/>
                <w:szCs w:val="24"/>
              </w:rPr>
              <w:lastRenderedPageBreak/>
              <w:t>gestión de trazabilidad,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Las empresas deben establecer documentos de sistemas de gestión que abarquen, entre otros, la prevención y el control fitosanitario, la gestión de la inocuidad de los alimentos, la gestión del personal, el uso de productos químicos, la aceptación de materias primas, la gestión de almacenamiento, la inspección de exportación de productos terminados, la retirada </w:t>
            </w:r>
            <w:r>
              <w:rPr>
                <w:rFonts w:ascii="Times New Roman" w:eastAsia="方正仿宋_GBK" w:cs="Times New Roman"/>
                <w:color w:val="000000"/>
                <w:kern w:val="0"/>
                <w:sz w:val="24"/>
                <w:szCs w:val="24"/>
              </w:rPr>
              <w:lastRenderedPageBreak/>
              <w:t>de productos no calificados, la gestión de la trazabilidad, etc., y implementarlos efectivamente.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protocolo sobre inspección y cuarentena de frutos secos exportados a China suscrito entre la autoridad competente del país solicitante y la Administración General de Aduanas.</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Proporcionar información sobre la organización de gestión empresarial y la dotación de personal de los departamentos o puestos relacionados con la gestión de higiene vegetal y seguridad alimentaria.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Ubicación de la empresa y distribución del taller.</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Selección del sitio y entorno de la fábrica.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3.1 y 3.2 en "Especificaciones higiénicas generales de la norma nacional de seguridad alimentaria para la </w:t>
            </w:r>
            <w:r>
              <w:rPr>
                <w:rFonts w:ascii="Times New Roman" w:eastAsia="方正仿宋_GBK" w:cs="Times New Roman"/>
                <w:kern w:val="0"/>
                <w:sz w:val="24"/>
                <w:szCs w:val="24"/>
              </w:rPr>
              <w:lastRenderedPageBreak/>
              <w:t>producción de alimentos"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Proporcionar un plano del área de la fábrica e indicar los nombres de las diferentes áreas operativas.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2.1.2 Proporcionar fotografías del entorno donde está ubicada la fábrica. Las fotografías deben indicar la información del entorno circundante (áreas urbanas, suburbanas, industriales, agrícolas y residenciales) </w:t>
            </w:r>
            <w:r>
              <w:rPr>
                <w:rFonts w:ascii="Times New Roman" w:eastAsia="方正仿宋_GBK" w:cs="Times New Roman"/>
                <w:color w:val="000000"/>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La distribución del área de la fábrica satisface las necesidades de producción y procesamiento.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 existen fuentes de contaminación alrededor del </w:t>
            </w:r>
            <w:r>
              <w:rPr>
                <w:rFonts w:ascii="Times New Roman" w:eastAsia="方正仿宋_GBK" w:cs="Times New Roman"/>
                <w:color w:val="000000"/>
                <w:kern w:val="0"/>
                <w:sz w:val="24"/>
                <w:szCs w:val="24"/>
              </w:rPr>
              <w:lastRenderedPageBreak/>
              <w:t>área de la fábrica.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Diseño del taller</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"Normas nacionales de seguridad alimentaria, especificaciones higiénicas generales para la producción de alimentos"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puertas y ventanas que puedan abrirse en el taller y el paso que lo conecte con el exterior deberán disponer de dispositivos que impidan la entrada de insectos, ratas, pájaros, murciélagos y otros animales voladores.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宋体" w:hint="eastAsia"/>
                <w:kern w:val="0"/>
                <w:sz w:val="24"/>
                <w:szCs w:val="24"/>
              </w:rPr>
              <w:t> </w:t>
            </w: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 Instalaciones y equipamiento</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5.2.1 en "Especificaciones higiénicas generales de la norma nacional de seguridad </w:t>
            </w:r>
            <w:r>
              <w:rPr>
                <w:rFonts w:ascii="Times New Roman" w:eastAsia="方正仿宋_GBK" w:cs="Times New Roman"/>
                <w:kern w:val="0"/>
                <w:sz w:val="24"/>
                <w:szCs w:val="24"/>
              </w:rPr>
              <w:lastRenderedPageBreak/>
              <w:t>alimentaria para la producción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3.1 Proporcionar una lista de los principales equipos e instalaciones, y capacidades </w:t>
            </w:r>
            <w:r>
              <w:rPr>
                <w:rFonts w:ascii="Times New Roman" w:eastAsia="方正仿宋_GBK" w:cs="Times New Roman"/>
                <w:color w:val="000000"/>
                <w:kern w:val="0"/>
                <w:sz w:val="24"/>
                <w:szCs w:val="24"/>
              </w:rPr>
              <w:lastRenderedPageBreak/>
              <w:t>de diseño y procesamiento.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Las empresas deberían estar equipadas con equipos de producción acordes con las </w:t>
            </w:r>
            <w:r>
              <w:rPr>
                <w:rFonts w:ascii="Times New Roman" w:eastAsia="方正仿宋_GBK" w:cs="Times New Roman"/>
                <w:color w:val="000000"/>
                <w:kern w:val="0"/>
                <w:sz w:val="24"/>
                <w:szCs w:val="24"/>
              </w:rPr>
              <w:lastRenderedPageBreak/>
              <w:t>capacidades de producción y procesamiento.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Instalaciones de almacenamiento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en "Especificaciones higiénicas generales de las normas nacionales de seguridad alimentaria para la producción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"Norma nacional de seguridad alimentaria Norma de higiene de los alimentos para frutos secos" (GB16325)</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 hay un almacenamiento en frío, describa los requisitos de control de temperatura y los métodos de monitoreo. (cuando corresponda)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instalaciones de almacenamiento están secas y ventiladas y pueden cumplir con los requisitos básicos de almacenamiento de productos, prevención de insectos y control de temperatura y humedad.</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Los productos no deben almacenarse junto con artículos que sean tóxicos, dañinos, malolientes, volátiles o corrosivos.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4.Agua/Hielo/Vapor</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en "Especificaciones higiénicas generales de la norma nacional de seguridad alimentaria para la producción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 Las empresas deben garantizar que la calidad del agua cumpla con los requisitos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y deben proporcionar informes de pruebas del agua de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seg</w:t>
            </w:r>
            <w:r>
              <w:rPr>
                <w:rFonts w:ascii="Times New Roman" w:eastAsia="方正仿宋_GBK" w:cs="Times New Roman" w:hint="eastAsia"/>
                <w:kern w:val="0"/>
                <w:sz w:val="24"/>
                <w:szCs w:val="24"/>
              </w:rPr>
              <w:t>ú</w:t>
            </w:r>
            <w:r>
              <w:rPr>
                <w:rFonts w:ascii="Times New Roman" w:eastAsia="方正仿宋_GBK" w:cs="Times New Roman" w:hint="eastAsia"/>
                <w:kern w:val="0"/>
                <w:sz w:val="24"/>
                <w:szCs w:val="24"/>
              </w:rPr>
              <w:t>n sea necesario.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4.1.2 El agua de procesamiento de alimentos y </w:t>
            </w:r>
            <w:r>
              <w:rPr>
                <w:rFonts w:ascii="Times New Roman" w:eastAsia="方正仿宋_GBK" w:cs="Times New Roman" w:hint="eastAsia"/>
                <w:kern w:val="0"/>
                <w:sz w:val="24"/>
                <w:szCs w:val="24"/>
              </w:rPr>
              <w:lastRenderedPageBreak/>
              <w:t>otras aguas que no est</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n en contacto con los alimentos (como agua condensada indirecta, aguas residuales o aguas residuales) deber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an transportarse en tuber</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as completamente separadas para evitar la contaminaci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cruzada.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Las empresas deben probar la calidad del agua de producci</w:t>
            </w:r>
            <w:r>
              <w:rPr>
                <w:rFonts w:ascii="Times New Roman" w:eastAsia="方正仿宋_GBK" w:cs="宋体" w:hint="eastAsia"/>
                <w:kern w:val="0"/>
                <w:sz w:val="24"/>
                <w:szCs w:val="24"/>
              </w:rPr>
              <w:t>ó</w:t>
            </w:r>
            <w:r>
              <w:rPr>
                <w:rFonts w:ascii="Times New Roman" w:eastAsia="方正仿宋_GBK" w:cs="宋体" w:hint="eastAsia"/>
                <w:kern w:val="0"/>
                <w:sz w:val="24"/>
                <w:szCs w:val="24"/>
              </w:rPr>
              <w:t>n (si se utiliza) para garantizar que cumpla con los requisitos de seguridad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rPr>
                <w:rFonts w:ascii="Times New Roman" w:eastAsia="方正仿宋_GBK" w:cs="Times New Roman"/>
                <w:kern w:val="0"/>
                <w:sz w:val="24"/>
                <w:szCs w:val="24"/>
              </w:rPr>
            </w:pPr>
          </w:p>
          <w:p w:rsidR="000D17CE" w:rsidRDefault="000D17CE">
            <w:pPr>
              <w:widowControl/>
              <w:spacing w:line="0" w:lineRule="atLeast"/>
              <w:ind w:firstLineChars="150" w:firstLine="360"/>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6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Materias primas y materiales de embalaje.</w:t>
            </w:r>
          </w:p>
        </w:tc>
      </w:tr>
      <w:tr w:rsidR="000D17CE">
        <w:trPr>
          <w:trHeight w:val="66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7 en "Especificaciones higiénicas generales de la norma nacional de seguridad alimentaria para la producción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xml:space="preserve">"Norma Nacional de Seguridad Alimentaria Norma de higiene alimentaria para frutos secos" (GB16325)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empresas deben inspeccionar las condiciones fitosanitarias y de seguridad alimentaria de las materias primas antes de ingresar a la fábrica, o tomar las medidas necesarias de control de plagas para garantizar que las materias primas cumplan con los requisitos de seguridad de producción, y establecer registros de aceptación y registros de control de plagas, y </w:t>
            </w:r>
            <w:r>
              <w:rPr>
                <w:rFonts w:ascii="Times New Roman" w:eastAsia="方正仿宋_GBK" w:cs="Times New Roman"/>
                <w:kern w:val="0"/>
                <w:sz w:val="24"/>
                <w:szCs w:val="24"/>
              </w:rPr>
              <w:lastRenderedPageBreak/>
              <w:t>conservar los registros para no menos de 2 años.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Fuente de materias primas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"Norma Nacional de Seguridad Alimentaria Norma de higiene de los alimentos para frutos secos"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nacionales de seguridad alimentaria para el uso de aditivos alimentarios" (GB 2760 )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micotoxinas en los alimentos según las normas nacionales de seguridad alimentaria"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contaminantes en los alimentos según las normas nacionales de seguridad alimentaria"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"Límites máximos de residuos de pesticidas en los alimentos según la norma nacional de seguridad alimentaria" (GB 2763)</w:t>
            </w:r>
          </w:p>
          <w:p w:rsidR="000D17CE" w:rsidRDefault="000D17CE">
            <w:pPr>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Proporcionar el último informe de prueba de que el producto cumple con los estándares nacionales de seguridad alimentaria de China. (cuando corresponda)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Proporcionar materiales para demostrar que las materias primas producidas por la empresa deben provenir de áreas donde las plagas cuarentenarias no son de interés para China y que los proveedores de materias primas tienen calificaciones que cumplen con los requisitos locales.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materias primas utilizadas deben cumplir con las leyes y regulaciones chinas, las normas nacionales de seguridad alimentaria y los acuerdos, protocolos, memorandos y otras regulaciones pertinentes sobre inspección y cuarentena de frutos secos exportados a China.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la empresa ha establecido una evaluación de la conformidad de las materias primas y ha implementado una gestión de trazabilidad de las materias primas compradas de acuerdo con los requisitos del protocolo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5.3 Aditivos alimentarios </w:t>
            </w:r>
            <w:r>
              <w:rPr>
                <w:rFonts w:ascii="Times New Roman" w:eastAsia="方正仿宋_GBK" w:cs="Times New Roman"/>
                <w:kern w:val="0"/>
                <w:sz w:val="24"/>
                <w:szCs w:val="24"/>
              </w:rPr>
              <w:lastRenderedPageBreak/>
              <w:t>(cuando corresponda)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Artículo 7.3 de las "Especificaciones higiénicas </w:t>
            </w:r>
            <w:r>
              <w:rPr>
                <w:rFonts w:ascii="Times New Roman" w:eastAsia="方正仿宋_GBK" w:cs="Times New Roman"/>
                <w:color w:val="000000"/>
                <w:kern w:val="0"/>
                <w:sz w:val="24"/>
                <w:szCs w:val="24"/>
              </w:rPr>
              <w:lastRenderedPageBreak/>
              <w:t>generales de las normas nacionales de seguridad alimentaria para la producción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5.3 Lista de aditivos alimentarios utilizados en la </w:t>
            </w:r>
            <w:r>
              <w:rPr>
                <w:rFonts w:ascii="Times New Roman" w:eastAsia="方正仿宋_GBK" w:cs="Times New Roman"/>
                <w:kern w:val="0"/>
                <w:sz w:val="24"/>
                <w:szCs w:val="24"/>
              </w:rPr>
              <w:lastRenderedPageBreak/>
              <w:t>producción y procesamiento (incluido el nombre, finalidad, cantidad adicional,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Los aditivos alimentarios utilizados en la producción </w:t>
            </w:r>
            <w:r>
              <w:rPr>
                <w:rFonts w:ascii="Times New Roman" w:eastAsia="方正仿宋_GBK" w:cs="Times New Roman"/>
                <w:kern w:val="0"/>
                <w:sz w:val="24"/>
                <w:szCs w:val="24"/>
              </w:rPr>
              <w:lastRenderedPageBreak/>
              <w:t>cumplen con las regulaciones de China sobre el uso de aditivos alimentarios.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 </w:t>
            </w: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Materiales de embalaje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en "Especificaciones higiénicas generales de las normas nacionales de seguridad alimentaria para la producción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 Nacional de Seguridad Alimentaria Norma de higiene de los alimentos para frutos secos" (GB16325).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"Principios generales de la norma nacional de seguridad alimentaria para el etiquetado de alimentos preenvasados" (GB7718).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Acuerdos, memorandos y protocolos bilaterales pertinentes de inspección y cuarentena.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Aportar prueba de que los materiales de embalaje internos y externos son adecuados para el embalaje del producto.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Proporcionar estilos de etiquetas para productos terminados que se exportarán a China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materiales de embalaje no afectan la seguridad alimentaria ni las características del producto en condiciones específicas de almacenamiento y uso.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marcas de los envases deben cumplir con los requisitos de los acuerdos, memorandos y protocolos bilaterales de inspección y cuarentena.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6. Control de producción y procesamiento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Establecimiento y operación del sistema HACCP</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"Requisitos generales para empresas de producción de alimentos bajo el sistema de análisis de peligros y puntos críticos de control (HACCP)" (GB/T 27341).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Proporcionar el flujo del proceso de producción y procesamiento, indicar los puntos críticos de control (PCC) y las medidas de control de peligros tomadas.</w:t>
            </w:r>
          </w:p>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6.1.2 Si se adopta el sistema HACCP, proporcione una hoja de trabajo de análisis de peligros y un plan HACCP, registros de monitoreo de PCC, registros de corrección y formularios de muestra de registros de verificación (cuando corresponda).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1. El flujo del proceso de producción y procesamiento de la empresa y los parámetros principales del proceso correspondientes deben ser científicos y estandarizados para garantizar la seguridad del producto, y se deben establecer medidas especiales de control de peligros o puntos de control críticos (PCC) en eslabones clave donde existan riesgos de seguridad.</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 de micotoxinas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"Límites de micotoxinas en los alimentos según las normas nacionales de seguridad alimentaria" (GB 2761 ).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6.2 Proporcionar informes de inspección por muestreo </w:t>
            </w:r>
            <w:r>
              <w:rPr>
                <w:rFonts w:ascii="Times New Roman" w:eastAsia="方正仿宋_GBK" w:cs="Times New Roman"/>
                <w:color w:val="000000"/>
                <w:kern w:val="0"/>
                <w:sz w:val="24"/>
                <w:szCs w:val="24"/>
              </w:rPr>
              <w:t xml:space="preserve">que indiquen que las micotoxinas </w:t>
            </w:r>
            <w:r>
              <w:rPr>
                <w:rFonts w:ascii="Times New Roman" w:eastAsia="方正仿宋_GBK" w:cs="Times New Roman"/>
                <w:kern w:val="0"/>
                <w:sz w:val="24"/>
                <w:szCs w:val="24"/>
              </w:rPr>
              <w:t xml:space="preserve">en los productos producidos, procesados y almacenados cumplen con </w:t>
            </w:r>
            <w:r>
              <w:rPr>
                <w:rFonts w:ascii="Times New Roman" w:eastAsia="方正仿宋_GBK" w:cs="Times New Roman"/>
                <w:color w:val="000000"/>
                <w:kern w:val="0"/>
                <w:sz w:val="24"/>
                <w:szCs w:val="24"/>
              </w:rPr>
              <w:t>las normas nacionales de seguridad alimentaria de China.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xml:space="preserve">1. Si el </w:t>
            </w:r>
            <w:r>
              <w:rPr>
                <w:rFonts w:ascii="Times New Roman" w:eastAsia="方正仿宋_GBK" w:cs="Times New Roman"/>
                <w:color w:val="000000"/>
                <w:kern w:val="0"/>
                <w:sz w:val="24"/>
                <w:szCs w:val="24"/>
              </w:rPr>
              <w:t xml:space="preserve">sistema de control de micotoxinas en los productos de la planta procesadora </w:t>
            </w:r>
            <w:r>
              <w:rPr>
                <w:rFonts w:ascii="Times New Roman" w:eastAsia="方正仿宋_GBK" w:cs="Times New Roman"/>
                <w:kern w:val="0"/>
                <w:sz w:val="24"/>
                <w:szCs w:val="24"/>
              </w:rPr>
              <w:t>después de la producción, procesamiento y almacenamiento es razonable.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6.3 Uso de aditivos alimentarios y </w:t>
            </w:r>
            <w:r>
              <w:rPr>
                <w:rFonts w:ascii="Times New Roman" w:eastAsia="方正仿宋_GBK" w:cs="Times New Roman"/>
                <w:kern w:val="0"/>
                <w:sz w:val="24"/>
                <w:szCs w:val="24"/>
              </w:rPr>
              <w:lastRenderedPageBreak/>
              <w:t>fortificantes nutricionales (cuando corresponda)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Artículo 7.3 de las "Especificaciones higiénicas generales de las normas </w:t>
            </w:r>
            <w:r>
              <w:rPr>
                <w:rFonts w:ascii="Times New Roman" w:eastAsia="方正仿宋_GBK" w:cs="Times New Roman"/>
                <w:color w:val="000000"/>
                <w:kern w:val="0"/>
                <w:sz w:val="24"/>
                <w:szCs w:val="24"/>
              </w:rPr>
              <w:lastRenderedPageBreak/>
              <w:t>nacionales de seguridad alimentaria para la producción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"Estándar nacional de seguridad alimentaria para el uso de potenciadores nutricionales de los alimentos" (GB14880).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"Norma Nacional de Seguridad Alimentaria Norma de higiene de los alimentos para frutos secos" (GB16325).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 xml:space="preserve">6.3 Proporcionar una lista de aditivos alimentarios y suplementos nutricionales </w:t>
            </w:r>
            <w:r>
              <w:rPr>
                <w:rFonts w:ascii="Times New Roman" w:eastAsia="方正仿宋_GBK" w:cs="Times New Roman" w:hint="eastAsia"/>
                <w:kern w:val="0"/>
                <w:sz w:val="24"/>
                <w:szCs w:val="24"/>
              </w:rPr>
              <w:lastRenderedPageBreak/>
              <w:t>utilizados en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procesamiento (incluidos nombres, usos, cantidades agregadas,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Los resultados de las pruebas deben cumplir con </w:t>
            </w:r>
            <w:r>
              <w:rPr>
                <w:rFonts w:ascii="Times New Roman" w:eastAsia="方正仿宋_GBK" w:cs="Times New Roman"/>
                <w:color w:val="000000"/>
                <w:kern w:val="0"/>
                <w:sz w:val="24"/>
                <w:szCs w:val="24"/>
              </w:rPr>
              <w:t xml:space="preserve">los estándares nacionales de </w:t>
            </w:r>
            <w:r>
              <w:rPr>
                <w:rFonts w:ascii="Times New Roman" w:eastAsia="方正仿宋_GBK" w:cs="Times New Roman"/>
                <w:color w:val="000000"/>
                <w:kern w:val="0"/>
                <w:sz w:val="24"/>
                <w:szCs w:val="24"/>
              </w:rPr>
              <w:lastRenderedPageBreak/>
              <w:t>seguridad alimentaria de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Limpieza y desinfección</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en "Normas nacionales de seguridad alimentaria, especificaciones higiénicas generales para la producción de alimentos"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medidas de limpieza y desinfección deberán poder eliminar la contaminación cruzada y cumplir los requisitos de higiene.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 de productos químicos, desechos, plagas y roedores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Control químico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en "Normas nacionales de seguridad alimentaria, especificaciones higiénicas generales para la producción de alimentos" (GB14881-2013).</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Describa brevemente los requisitos de uso y almacenamiento de productos químicos.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sistema de gestión de productos químicos es razonable y puede prevenir eficazmente que los productos químicos utilizados contaminen los productos.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Gestión de la contaminación </w:t>
            </w:r>
            <w:r>
              <w:rPr>
                <w:rFonts w:ascii="Times New Roman" w:eastAsia="方正仿宋_GBK" w:cs="Times New Roman"/>
                <w:kern w:val="0"/>
                <w:sz w:val="24"/>
                <w:szCs w:val="24"/>
              </w:rPr>
              <w:t>física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en "Normas nacionales de seguridad alimentaria, especificaciones higiénicas generales para la producción de alimentos" (GB14881-2013).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Proporcionar sistemas de gestión y registros de tratamiento relacionados para prevenir la contaminación física.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Se debe establecer un sistema de gestión para prevenir la contaminación por materias extrañas, se deben analizar las posibles fuentes y vías de contaminación y se deben formular los planes y procedimientos de control correspondientes.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El riesgo de que los alimentos se contaminen con materias extrañas como vidrio, metal, plástico, etc. debe minimizarse tomando medidas como mantenimiento de equipos, gestión sanitaria, gestión in situ, gestión de personal externo y supervisión del procesamiento. proceso.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Se deben tomar medidas eficaces, como pantallas, </w:t>
            </w:r>
            <w:r>
              <w:rPr>
                <w:rFonts w:ascii="Times New Roman" w:eastAsia="方正仿宋_GBK" w:cs="Times New Roman"/>
                <w:color w:val="000000"/>
                <w:kern w:val="0"/>
                <w:sz w:val="24"/>
                <w:szCs w:val="24"/>
              </w:rPr>
              <w:lastRenderedPageBreak/>
              <w:t>captadores, imanes y detectores de metales, para reducir el riesgo de contaminación de los alimentos por metales u otras materias extrañas.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en "Especificaciones higiénicas generales de las normas nacionales de seguridad alimentaria para la producción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Proporcionar métodos de control de plagas y planos de diseño. Si lo realiza un tercero, proporcione las calificaciones del tercero.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Debe evitarse el impacto de mosquitos, moscas y otras plagas de insectos y roedores sobre la seguridad e higiene de la producción.</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Gestión de residuos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en "Especificaciones higiénicas generales de la norma nacional de seguridad alimentaria para la producción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Proporcionar sistema de gestión de residuos y registros de tratamiento relacionados.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Los contenedores de productos comestibles y los contenedores de almacenamiento de residuos en el taller deberán estar claramente marcados y distinguidos.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Los residuos deben almacenarse por separado y procesarse a tiempo para evitar la contaminación de la producción.</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Trazabilidad del producto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en "Especificaciones higiénicas generales de las normas nacionales de seguridad alimentaria para la </w:t>
            </w:r>
            <w:r>
              <w:rPr>
                <w:rFonts w:ascii="Times New Roman" w:eastAsia="方正仿宋_GBK" w:cs="Times New Roman"/>
                <w:color w:val="000000"/>
                <w:kern w:val="0"/>
                <w:sz w:val="24"/>
                <w:szCs w:val="24"/>
              </w:rPr>
              <w:lastRenderedPageBreak/>
              <w:t>producción de alimentos"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9.1 Describa brevemente el procedimiento de trazabilidad del producto, tomando como ejemplo el número de lote de </w:t>
            </w:r>
            <w:r>
              <w:rPr>
                <w:rFonts w:ascii="Times New Roman" w:eastAsia="方正仿宋_GBK" w:cs="Times New Roman"/>
                <w:kern w:val="0"/>
                <w:sz w:val="24"/>
                <w:szCs w:val="24"/>
              </w:rPr>
              <w:lastRenderedPageBreak/>
              <w:t>un lote de productos terminados para explicar cómo rastrear el producto terminado hasta la materia prima.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Deben establecerse procedimientos de trazabilidad para lograr una trazabilidad bidireccional de toda la cadena </w:t>
            </w:r>
            <w:r>
              <w:rPr>
                <w:rFonts w:ascii="Times New Roman" w:eastAsia="方正仿宋_GBK" w:cs="Times New Roman"/>
                <w:kern w:val="0"/>
                <w:sz w:val="24"/>
                <w:szCs w:val="24"/>
              </w:rPr>
              <w:lastRenderedPageBreak/>
              <w:t>de materias primas, procesos de producción y procesamiento y productos terminados.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Gestión entrante y saliente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y 14.1 en "Especificaciones higiénicas generales de la norma nacional de seguridad alimentaria para la producción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Proporcionar gestión de entrada y salida de productos.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productos deben inspeccionarse antes de ingresar al almacén y se deben conservar registros de aceptación, almacenamiento y salida. Los registros deben conservarse durante al menos 2 años.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10. Gestión y formación de personal</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Gestión de la salud e higiene del personal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en "Especificaciones higiénicas generales de la norma nacional de seguridad alimentaria para la producción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Proporcionar a los empleados requisitos de examen físico y gestión de la salud previos al empleo.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empleados, éstos deberán someterse a un examen físico y acreditar su idoneidad para trabajar en una empresa procesadora de alimentos.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empleados deben someterse a exámenes físicos periódicos y mantener registros.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Formación del personal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en "Normas nacionales de seguridad alimentaria, especificaciones higiénicas generales para la producción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Proporcionar a los empleados planes, contenidos, evaluaciones y registros anuales de capacitación.</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El contenido de la capacitación debe cubrir el memorando de inspección y cuarentena, los acuerdos y protocolos de frutos secos exportados a China, las regulaciones y estándares </w:t>
            </w:r>
            <w:r>
              <w:rPr>
                <w:rFonts w:ascii="Times New Roman" w:eastAsia="方正仿宋_GBK" w:cs="Times New Roman"/>
                <w:color w:val="000000"/>
                <w:kern w:val="0"/>
                <w:sz w:val="24"/>
                <w:szCs w:val="24"/>
              </w:rPr>
              <w:lastRenderedPageBreak/>
              <w:t>chinos, etc.</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Requisitos de gestión</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en "Normas nacionales de seguridad alimentaria, especificaciones higiénicas generales para la producción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Proporcionar al personal de gestión registros de capacitación sobre las disposiciones pertinentes del país/región donde se encuentran los productos exportados y las leyes y reglamentos de sanidad vegetal y seguridad alimentaria de China, y realizar inspecciones aleatorias in situ y preguntas y respuestas cuando sea necesario.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capacidades comerciales del personal de producción y gestión de la empresa deben ser adecuadas para los requisitos del trabajo y deben estar familiarizados con las disposiciones pertinentes de las leyes y reglamentos de sanidad vegetal y seguridad alimentaria del país/región y de China, así como los requisitos del protocolo sobre exportación de frutos secos a China firmado por ambas partes y los requisitos de esta especificación.</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Tener las calificaciones y habilidades adecuadas para su puesto de trabajo.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0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11.Autoexamen y autocontrol</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11.Inspección del producto terminado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en "Normas nacionales de seguridad alimentaria, especificaciones higiénicas generales para la producción de alimentos" (GB14881)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"Norma Nacional de Seguridad Alimentaria Norma de higiene de los </w:t>
            </w:r>
            <w:r>
              <w:rPr>
                <w:rFonts w:ascii="Times New Roman" w:eastAsia="方正仿宋_GBK" w:cs="Times New Roman"/>
                <w:color w:val="000000"/>
                <w:kern w:val="0"/>
                <w:sz w:val="24"/>
                <w:szCs w:val="24"/>
              </w:rPr>
              <w:lastRenderedPageBreak/>
              <w:t>alimentos para frutos secos"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nacionales de seguridad alimentaria para el uso de aditivos alimentarios" (GB 2760)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micotoxinas en los alimentos según las normas nacionales de seguridad alimentaria"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"Límites de contaminantes en los alimentos según las normas nacionales de seguridad alimentaria"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"Límites máximos de residuos de pesticidas en los alimentos según la norma nacional de seguridad alimentaria" (GB 2763)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Proporcionar elementos de inspección del producto terminado, indicadores, métodos de inspección y frecuencia.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una empresa tiene su propio laboratorio, debe presentar pruebas de sus </w:t>
            </w:r>
            <w:r>
              <w:rPr>
                <w:rFonts w:ascii="Times New Roman" w:eastAsia="方正仿宋_GBK" w:cs="Times New Roman"/>
                <w:color w:val="000000"/>
                <w:kern w:val="0"/>
                <w:sz w:val="24"/>
                <w:szCs w:val="24"/>
              </w:rPr>
              <w:lastRenderedPageBreak/>
              <w:t xml:space="preserve">capacidades y calificaciones de laboratorio; si la empresa confía a un laboratorio de terceros, debe proporcionar las calificaciones del laboratorio confiado </w:t>
            </w:r>
            <w:r>
              <w:rPr>
                <w:rFonts w:ascii="Times New Roman" w:eastAsia="方正仿宋_GBK" w:cs="Times New Roman"/>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Las empresas deben realizar pruebas fitosanitarias, de seguridad alimentaria y de otro tipo en sus productos para garantizar el cumplimiento de los requisitos chinos y mantener registros de pruebas durante al menos dos años.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Las empresas deben tener capacidades de inspección y prueba fitosanitarias y de seguridad alimentaria de los productos, o confiar la realización de inspecciones y pruebas a una institución con las calificaciones pertinentes.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rPr>
              <w:lastRenderedPageBreak/>
              <w:t>12. Control de plagas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Prevención y control de plagas cuarentenarias que preocupan a China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Frutos Secos Exportados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La empresa deberá presentar una lista de plagas cuarentenarias de interés para China, así como su sistema de seguimiento y sus resultados.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monitorear las plagas cuarentenarias que preocupan a China y mantener registros de monitoreo durante al menos dos años.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Identificación de plagas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Frutos Secos Exportados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Las empresas deberán presentar registros de las plagas encontradas durante la producción y el almacenamiento y registros de identificación de las instituciones profesionales que se les hayan confiado.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tener la capacidad de identificar los organismos nocivos encontrados durante la producción y el almacenamiento, o confiar a una organización profesional la realización de la identificación y el establecimiento de registros de trabajo, que deben conservarse durante al menos dos años.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 de plagas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Frutos Secos Exportados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Las empresas presentan registros de las medidas de control de plagas implementadas en las áreas de producción y almacenamiento.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implementar medidas de control de plagas en las áreas de producción y almacenamiento con regularidad o cuando sea necesario. Las medidas de control relacionadas deben registrarse y conservarse durante al menos 2 años.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Tratamiento de fumigación (si es necesario)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Acuerdo y Protocolo sobre Inspección y Cuarentena de Frutos Secos Exportados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método de tratamiento de fumigación debe cumplir con los requisitos chinos, y las instituciones y el personal que implementa la fumigación deben tener las calificaciones o condiciones pertinentes.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4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13. Declaración</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13.1 Declaración Corporativa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tener la firma de la persona jurídica y el sello de la empresa.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Confirmación por parte de la autoridad competente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estar firmado por la autoridad competente y sellado por la autoridad competente.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D17CE" w:rsidRDefault="000D17CE">
      <w:pPr>
        <w:widowControl/>
        <w:spacing w:line="324" w:lineRule="atLeast"/>
        <w:jc w:val="lef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rPr>
          <w:rFonts w:ascii="Times New Roman" w:cs="Times New Roman"/>
        </w:rPr>
      </w:pPr>
    </w:p>
    <w:sectPr w:rsidR="000D17CE">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36" w:rsidRDefault="002E3E36" w:rsidP="00EC00CC">
      <w:r>
        <w:separator/>
      </w:r>
    </w:p>
  </w:endnote>
  <w:endnote w:type="continuationSeparator" w:id="0">
    <w:p w:rsidR="002E3E36" w:rsidRDefault="002E3E36" w:rsidP="00EC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CC" w:rsidRDefault="00EC00CC">
    <w:pPr>
      <w:pStyle w:val="a5"/>
    </w:pPr>
    <w:r w:rsidRPr="00EC00CC">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36" w:rsidRDefault="002E3E36" w:rsidP="00EC00CC">
      <w:r>
        <w:separator/>
      </w:r>
    </w:p>
  </w:footnote>
  <w:footnote w:type="continuationSeparator" w:id="0">
    <w:p w:rsidR="002E3E36" w:rsidRDefault="002E3E36" w:rsidP="00EC0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B9A44D6"/>
    <w:lvl w:ilvl="0">
      <w:start w:val="1"/>
      <w:numFmt w:val="decimal"/>
      <w:lvlText w:val="%1."/>
      <w:lvlJc w:val="left"/>
      <w:pPr>
        <w:tabs>
          <w:tab w:val="num" w:pos="2040"/>
        </w:tabs>
        <w:ind w:left="2040" w:hanging="360"/>
      </w:pPr>
    </w:lvl>
  </w:abstractNum>
  <w:abstractNum w:abstractNumId="1">
    <w:nsid w:val="0FFFFF7D"/>
    <w:multiLevelType w:val="singleLevel"/>
    <w:tmpl w:val="549A1DA2"/>
    <w:lvl w:ilvl="0">
      <w:start w:val="1"/>
      <w:numFmt w:val="decimal"/>
      <w:lvlText w:val="%1."/>
      <w:lvlJc w:val="left"/>
      <w:pPr>
        <w:tabs>
          <w:tab w:val="num" w:pos="1620"/>
        </w:tabs>
        <w:ind w:left="1620" w:hanging="360"/>
      </w:pPr>
    </w:lvl>
  </w:abstractNum>
  <w:abstractNum w:abstractNumId="2">
    <w:nsid w:val="0FFFFF7E"/>
    <w:multiLevelType w:val="singleLevel"/>
    <w:tmpl w:val="2F5C2CC4"/>
    <w:lvl w:ilvl="0">
      <w:start w:val="1"/>
      <w:numFmt w:val="decimal"/>
      <w:lvlText w:val="%1."/>
      <w:lvlJc w:val="left"/>
      <w:pPr>
        <w:tabs>
          <w:tab w:val="num" w:pos="1200"/>
        </w:tabs>
        <w:ind w:left="1200" w:hanging="360"/>
      </w:pPr>
    </w:lvl>
  </w:abstractNum>
  <w:abstractNum w:abstractNumId="3">
    <w:nsid w:val="0FFFFF7F"/>
    <w:multiLevelType w:val="singleLevel"/>
    <w:tmpl w:val="CAA21E9E"/>
    <w:lvl w:ilvl="0">
      <w:start w:val="1"/>
      <w:numFmt w:val="decimal"/>
      <w:lvlText w:val="%1."/>
      <w:lvlJc w:val="left"/>
      <w:pPr>
        <w:tabs>
          <w:tab w:val="num" w:pos="780"/>
        </w:tabs>
        <w:ind w:left="780" w:hanging="360"/>
      </w:pPr>
    </w:lvl>
  </w:abstractNum>
  <w:abstractNum w:abstractNumId="4">
    <w:nsid w:val="0FFFFF80"/>
    <w:multiLevelType w:val="singleLevel"/>
    <w:tmpl w:val="1C20539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DA444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A50F64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8D26549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D25418"/>
    <w:lvl w:ilvl="0">
      <w:start w:val="1"/>
      <w:numFmt w:val="decimal"/>
      <w:lvlText w:val="%1."/>
      <w:lvlJc w:val="left"/>
      <w:pPr>
        <w:tabs>
          <w:tab w:val="num" w:pos="360"/>
        </w:tabs>
        <w:ind w:left="360" w:hanging="360"/>
      </w:pPr>
    </w:lvl>
  </w:abstractNum>
  <w:abstractNum w:abstractNumId="9">
    <w:nsid w:val="0FFFFF89"/>
    <w:multiLevelType w:val="singleLevel"/>
    <w:tmpl w:val="8A4616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A3"/>
    <w:rsid w:val="000D17CE"/>
    <w:rsid w:val="002E3E36"/>
    <w:rsid w:val="00480EA3"/>
    <w:rsid w:val="00EC00CC"/>
    <w:rsid w:val="00ED1B0A"/>
    <w:rsid w:val="00FC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4114</Words>
  <Characters>23455</Characters>
  <Application>Microsoft Office Word</Application>
  <DocSecurity>0</DocSecurity>
  <Lines>195</Lines>
  <Paragraphs>55</Paragraphs>
  <ScaleCrop>false</ScaleCrop>
  <Company>Hewlett-Packard Company</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2024-11-21T12:08:00Z</dcterms:created>
  <dcterms:modified xsi:type="dcterms:W3CDTF">2024-11-21T12:48:00Z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