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CA" w:rsidRDefault="009E54CA">
      <w:pPr>
        <w:widowControl/>
        <w:spacing w:line="324" w:lineRule="atLeast"/>
        <w:rPr>
          <w:rFonts w:ascii="Times New Roman" w:eastAsia="方正黑体_GBK" w:cs="黑体"/>
          <w:color w:val="000000"/>
          <w:kern w:val="0"/>
          <w:sz w:val="28"/>
          <w:szCs w:val="28"/>
        </w:rPr>
      </w:pPr>
    </w:p>
    <w:p w:rsidR="009E54CA" w:rsidRDefault="009E54CA">
      <w:pPr>
        <w:widowControl/>
        <w:spacing w:line="324" w:lineRule="atLeast"/>
        <w:jc w:val="center"/>
        <w:rPr>
          <w:rFonts w:ascii="Times New Roman" w:eastAsia="方正小标宋_GBK" w:cs="黑体"/>
          <w:color w:val="000000"/>
          <w:kern w:val="0"/>
          <w:sz w:val="36"/>
          <w:szCs w:val="36"/>
        </w:rPr>
      </w:pP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>Productos industriales de molienda de cereales importados y empresas de producci</w:t>
      </w: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>ó</w:t>
      </w: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 xml:space="preserve">n de malta </w:t>
      </w:r>
      <w:r>
        <w:rPr>
          <w:rFonts w:ascii="Times New Roman" w:eastAsia="方正小标宋_GBK" w:cs="黑体"/>
          <w:color w:val="000000"/>
          <w:kern w:val="0"/>
          <w:sz w:val="36"/>
          <w:szCs w:val="36"/>
        </w:rPr>
        <w:t>en el extranjero .</w:t>
      </w:r>
    </w:p>
    <w:p w:rsidR="009E54CA" w:rsidRDefault="009E54CA">
      <w:pPr>
        <w:widowControl/>
        <w:spacing w:line="324" w:lineRule="atLeast"/>
        <w:jc w:val="center"/>
        <w:rPr>
          <w:rFonts w:ascii="Times New Roman" w:eastAsia="方正小标宋_GBK" w:cs="黑体"/>
          <w:color w:val="000000"/>
          <w:kern w:val="0"/>
          <w:sz w:val="36"/>
          <w:szCs w:val="36"/>
        </w:rPr>
      </w:pP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>Condiciones de registro y puntos de control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Número de registro: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Nombre de empresa: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Dirección comercial: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Fecha de cumplimentación del formulario:</w:t>
      </w:r>
    </w:p>
    <w:p w:rsidR="009E54CA" w:rsidRDefault="009E54CA">
      <w:pPr>
        <w:widowControl/>
        <w:spacing w:line="324" w:lineRule="atLeas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Instrucciones para llenar el formulario:</w:t>
      </w:r>
    </w:p>
    <w:p w:rsidR="009E54CA" w:rsidRDefault="009E54CA">
      <w:pPr>
        <w:widowControl/>
        <w:spacing w:line="324" w:lineRule="atLeas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1. De conformidad con el "Reglamento sobre el registro y la gesti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de empresas productoras de alimentos importados en el extranjero de la Rep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ú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blica Popular China" (Orden de la Administraci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General de Aduanas N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º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 xml:space="preserve"> 248), las condiciones sanitarias de los productos industriales de molienda de cereales y de las empresas productoras de malta en el extranjero que solicitan registro en China deben cumplir con las leyes y regulacio</w:t>
      </w:r>
      <w:bookmarkStart w:id="0" w:name="_GoBack"/>
      <w:bookmarkEnd w:id="0"/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nes chinas y las disposiciones pertinentes de las normas y especificaciones, y cumplir con los requisitos del Protocolo de Inspecci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 xml:space="preserve">n y 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lastRenderedPageBreak/>
        <w:t>Cuarentena para Productos Industriales de Molienda de Granos Exportados a China y Malta. Este formulario est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á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 xml:space="preserve"> destinado a las autoridades competentes extranjeras encargadas de los productos industriales de molienda de cereales y la malta importados para llevar a cabo inspecciones oficiales de los productos industriales de molienda de cereales y las empresas de producci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de malta bas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á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ndose en las principales condiciones y bases enumeradas y en los puntos clave de revisi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; Al mismo tiempo, las empresas productoras de productos industriales de molienda de cereales y malta en el extranjero deben completar y presentar materiales de respaldo seg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ú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las principales condiciones y bases enumeradas. Tambi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é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pueden realizar un autoexamen basado en los puntos de revisi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para la autoevaluaci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antes de que la empresa solicite el registro.</w:t>
      </w:r>
    </w:p>
    <w:p w:rsidR="009E54CA" w:rsidRDefault="009E54CA">
      <w:pPr>
        <w:widowControl/>
        <w:spacing w:line="560" w:lineRule="exact"/>
        <w:ind w:firstLineChars="200" w:firstLine="480"/>
        <w:jc w:val="left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2. Las autoridades competentes extranjeras y las empresas de producci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de malta y productos industriales de molienda de granos en el extranjero deben tomar determinaciones de cumplimiento verazmente basadas en la situaci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 real de las inspecciones comparativas.</w:t>
      </w:r>
    </w:p>
    <w:p w:rsidR="009E54CA" w:rsidRDefault="009E54CA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3. Los materiales enviados deben completarse en chino o ingl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é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s, y el contenido debe ser verdadero y completo. Los archivos adjuntos deben estar numerados. El n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ú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mero del archivo adjunto y el contenido deben corresponder exactamente al n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ú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mero del proyecto y al contenido en "Requisitos de llenado y materiales de certificaci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n". " columna. Al mismo tiempo, se debe enviar un directorio de archivos adjuntos de materiales de certificaci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n.</w:t>
      </w:r>
    </w:p>
    <w:p w:rsidR="009E54CA" w:rsidRDefault="009E54CA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4. Los productos industriales de molienda de cereales y la malta se refieren a productos en polvo fino que son comestibles despu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é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s de moler semillas o ra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í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ces y tub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é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rculos de plantas cultivadas como cereales y patatas, o productos de malta formados despu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é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s de la hidr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ó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lisis.</w:t>
      </w:r>
    </w:p>
    <w:p w:rsidR="009E54CA" w:rsidRDefault="009E54CA">
      <w:pPr>
        <w:widowControl/>
        <w:spacing w:line="324" w:lineRule="atLeast"/>
        <w:rPr>
          <w:rFonts w:ascii="Times New Roman" w:eastAsia="宋体" w:cs="宋体"/>
          <w:color w:val="000000"/>
          <w:kern w:val="0"/>
          <w:sz w:val="27"/>
          <w:szCs w:val="27"/>
        </w:rPr>
      </w:pPr>
    </w:p>
    <w:p w:rsidR="009E54CA" w:rsidRDefault="009E54CA">
      <w:pPr>
        <w:widowControl/>
        <w:spacing w:line="324" w:lineRule="atLeast"/>
        <w:jc w:val="center"/>
        <w:rPr>
          <w:rFonts w:ascii="Times New Roman" w:eastAsia="黑体" w:cs="黑体"/>
          <w:color w:val="000000"/>
          <w:kern w:val="0"/>
          <w:sz w:val="44"/>
          <w:szCs w:val="44"/>
        </w:rPr>
      </w:pPr>
    </w:p>
    <w:tbl>
      <w:tblPr>
        <w:tblW w:w="14174" w:type="dxa"/>
        <w:tblInd w:w="-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0"/>
        <w:gridCol w:w="2774"/>
        <w:gridCol w:w="3229"/>
        <w:gridCol w:w="3503"/>
        <w:gridCol w:w="1732"/>
        <w:gridCol w:w="1226"/>
      </w:tblGrid>
      <w:tr w:rsidR="009E54CA">
        <w:trPr>
          <w:trHeight w:val="39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proyecto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Condiciones y base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Llenado de requisitos y materiales de apoyo.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Puntos de revisi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Determinaci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n de cumplimiento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Observaci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n</w:t>
            </w:r>
          </w:p>
        </w:tc>
      </w:tr>
      <w:tr w:rsidR="009E54CA">
        <w:trPr>
          <w:trHeight w:val="375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楷体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 Situaci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b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sica de la empresa.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1.1 Situaci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b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sica de la empresa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culos 5, 6, 7 y 8 del "Reglamento de la Rep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blica Popular China sobre el registro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empresas productoras en el extranjero de alimentos importados" (Orden de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 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Un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molienda de granos y malta exportados a China suscrito entre la autoridad competente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 solicitante y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1.1.1 Completar 1. Formulario de informaci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b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sica para productos industriales de molienda de granos importados y empresas productoras de malta en el extranjero. 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1.1.2 Proporcionar informaci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de producci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y operaci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de los 2 años anteriores a la fecha de revisi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(si se estableci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 hace menos de 2 años, proporcione informaci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desde el establecimiento de la empresa) , incluida la capacidad de producci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n, la producci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anual real (estad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sticas por variedad ), volumen de exportaci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(si lo hubiera) Variedad y estad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sticas 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nacionales), etc.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Las empresas deben completar la informaci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con veracidad y la informaci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b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sica debe ser consistente con la informaci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presentada por las autoridades competentes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 exportador y las condiciones reales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procesamiento.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Los productos industriales de molienda de cereales y la malta que se planea exportar a China deben cumplir con el alcance del producto estipulado en los acuerdos, protocolos, memorandos, etc. pertinentes sobre la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los productos industriales de molienda de cereales y la malta.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1.2 Sistema de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culos 5, 6, 7 y 8 del "Reglamento de la Rep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blica Popular China sobre el registro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empresas productoras en el extranjero de alimentos importados" (Orden de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 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Un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molienda de granos y malta exportados a China suscrito entre la autoridad competente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 solicitante y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1.2 Proporcionar documentos del sistema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sobre prevenci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control de cuarentena vegetal,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seguridad alimentaria,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personal, uso de productos qu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micos, aceptaci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materias primas,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almacenamiento,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exportaci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productos terminados, retirada de productos no calificados,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trazabilidad, etc.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Las empresas deben establecer documentos de sistemas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que abarquen, entre otros, la prevenci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el control fitosanitario,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inocuidad de los alimentos,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del personal, el uso de productos qu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micos, la aceptaci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materias primas,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almacenamiento, la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exportaci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productos terminados, la retirada de productos no calificados,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trazabilidad, etc., y implementarlos efectivamente.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1.3 Estructura de la organizaci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culos 5, 6, 7 y 8 del "Reglamento de la Rep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blica Popular China sobre el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registro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empresas productoras en el extranjero de alimentos importados" (Orden de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 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Un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molienda de granos y malta exportados a China suscrito entre la autoridad competente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 solicitante y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1.3 Proporcionar informaci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sobre la organizaci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empresarial y la dotaci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personal de los departamentos o puestos relacionados con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higiene vegetal y seguridad alimentaria.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Las empresas deben establecer departamentos o puestos responsables de la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la higiene vegetal y la seguridad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alimentaria, y dotarlos de gerentes con experiencia profesional relacionada con la higiene vegetal y la seguridad alimentaria.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9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2. Ubicaci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de la empresa y distribuci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del taller.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2.1 Selecci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del sitio y entorno de la 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brica.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3.1 y 3.2 en "Especificaciones higi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2.1.1 Proporcionar un plano del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rea de la 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brica e indicar los nombres de las diferentes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reas operativas.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2.1.2 Proporcionar fotograf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as del entorno donde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 ubicada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la 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brica. Las fotograf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as deben indicar la informaci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del entorno circundante (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reas urbanas, suburbanas, industriales, agr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colas y residenciales)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La distribuci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rea de la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brica satisface las necesidades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procesamiento.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No existen fuentes de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alrededor del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rea de la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brica.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2.2 Diseño del taller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4.1 en "Especificaciones higi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2.2 Proporcionar un plano del taller, marcando el flujo de personas, log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stica, flujo de agua, procedimientos de procesamiento y diferentes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reas de limpieza.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El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rea y la altura del taller deben ser compatibles con la capacidad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la ubicaci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del equipo, cumplir con el flujo del proceso y los requisitos de seguridad y salud de los productos que se procesan, y evitar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cruzada.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Las puertas y ventanas que puedan abrirse en el taller y el paso que lo conecte con el exterior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disponer de dispositivos que impidan la entrada de insectos, ratas, 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jaros, murci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lagos y otros animales voladores.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9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3. Instalaciones y equipamiento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3.1 Equipos de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1. 5.2.1 en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"Especificaciones higi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3.1 Proporcionar una lista de los principales equipos 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instalaciones, y capacidades de diseño y procesamiento.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Las empresas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an estar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equipadas con equipos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acordes con las capacidades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procesamiento.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3.2 Instalaciones de almacenamiento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10 en "Especificaciones higi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nicas generales de las normas nacionales de seguridad alimentaria para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alimentos" (GB14881).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3.2 Si hay un almacenamiento en fr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o, describa los requisitos de control de temperatura y los m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todos de monitoreo. (cuando corresponda)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Las instalaciones de almacenamiento pueden cumplir con los requisitos b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sicos de almacenamiento de productos, prevenci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insectos y control de temperatura y humedad.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E54CA">
        <w:trPr>
          <w:trHeight w:val="48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4.Agua/Hielo/Vapor</w:t>
            </w:r>
          </w:p>
        </w:tc>
      </w:tr>
      <w:tr w:rsidR="009E54CA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 Agua/vapor/hielo para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 (si corresponde)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1. "Normas nacionales de seguridad alimentaria y normas de higiene para el agua potable" (GB 5749)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5.1.1 en "Especificaciones higi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alimentos" (GB14881).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4.1.1 Las empresas deben garantizar que la calidad del agua cumpla con los requisitos de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procesamiento, y deben proporcionar informes de pruebas del agua de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 seg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sea necesario.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4.1.2 El agua de procesamiento de alimentos y otras aguas que no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n en contacto con los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alimentos (como condensados indirectos, aguas residuales o aguas residuales) deber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an transportarse en tuber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as completamente separadas para evitar la contaminaci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cruzada.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Las empresas deben probar la calidad del agua de producci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n (si se utiliza) para garantizar que cumpla con los requisitos de seguridad.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6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5. Materias primas y materiales de embalaje.</w:t>
            </w:r>
          </w:p>
        </w:tc>
      </w:tr>
      <w:tr w:rsidR="009E54CA">
        <w:trPr>
          <w:trHeight w:val="66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5.1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control de materias primas y excipientes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7 en "Normas nacionales de seguridad alimentaria, 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 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5.1 Proporcionar medidas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materias primas y aditivos, incluidos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ndares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m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todos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Los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ndares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materias primas y aditivos cumplen con las regulaciones y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ndares chinos.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Las empresas deben inspeccionar las condiciones fitosanitarias y de seguridad vegetal de las materias primas antes de ingresar a la f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brica, o tomar las medidas necesarias de control de plagas para garantizar que las materias primas cumplan con los requisitos de seguridad de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n, y establecer registros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registros de control de plagas, y conservar los registros para no menos de 2 años.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5.2 Fuente de materias primas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de bacterias pat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genas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las normas nacionales de seguridad alimentaria" (GB29921)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"Normas Nacionales de Seguridad Alimentaria"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Normas para el uso de aditivos alimentarios (GB 2760)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3.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de micotoxinas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las normas nacionales de seguridad alimentaria" (GB 2761)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4. "Normas Nacionales de Seguridad Alimentaria"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mites de contaminantes en los alimentos (GB 2762)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5.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m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ximos de residuos de pesticidas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la norma nacional de seguridad alimentaria " ( GB 2763)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5.2.1 Proporcionar el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ltimo informe de prueba de que el producto cumple con los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ndares nacionales de seguridad alimentaria de China. (cuando corresponda)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5.2.2 Proporcionar materiales para demostrar que las materias primas producidas por la empresa deben provenir de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reas donde las plagas cuarentenarias no son de inter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s para China y que los proveedores de materias primas tienen calificaciones que cumplen con los requisitos locales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Las materias primas utilizadas deben cumplir con las leyes y regulaciones chinas, los est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ndares nacionales de seguridad alimentaria y los acuerdos, protocolos, memorandos y otras regulaciones pertinentes sobre productos industriales de molienda de granos exportados a China y la inspecci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cuarentena de la malta.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Si la empresa ha establecido una evaluaci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la conformidad de las materias primas y ha implementado una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trazabilidad de las materias primas compradas de acuerdo con los requisitos del acuerdo.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5.3 Aditivos alimentarios (cuando corresponda)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 7.3 de las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las normas nacionales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alimentos" (GB14881)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"Normas nacionales de seguridad alimentaria para el uso de aditivos alimentarios" (GB 2760)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5.3 Lista de aditivos alimentarios utilizados en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 (incluido el nombre, finalidad, cantidad adicional, etc.).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Los aditivos alimentarios utilizados en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cumplen con las regulaciones de China sobre el uso de aditivos alimentarios.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5.4 Materiales de embalaje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8.5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las normas nacionales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Acuerdos, memorandos y protocolos bilaterales pertinentes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5.4.1 Aportar prueba de que los materiales de embalaje internos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y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externos son adecuados para el embalaje del producto.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5.4.2 Proporcionar estilos de etiquetas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para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productos terminados que se exportar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a China.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Los materiales de embalaje no afectan la seguridad alimentaria ni las caracter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sticas del producto en condiciones espec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ficas de almacenamiento y uso.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Las marcas de los envases deben cumplir con los requisitos de los acuerdos, memorandos y protocolos bilaterales de inspecci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cuarentena.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8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6 Control de producci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y procesamiento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6.1 Estado de funcionamiento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del sistema de control de seguridad e higiene de los alimentos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8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nicas generales de las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normas nacionales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(GB14881-2013).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 Requisitos generales para empresas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 bajo el sistema de an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lisis de peligros y puntos cr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ticos de control ( HACCP)" (GB/T 27341).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6.1.1 Proporcionar el flujo del proceso de producción y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procesamiento, indicar los puntos críticos de control (PCC) y las medidas de control de peligros tomadas.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6.1.2 Si se adopta el sistema HACCP, proporcione una hoja de trabajo de análisis de peligros y un plan HACCP, registros de monitoreo de PCC, registros de corrección y formularios de muestra de registros de verificación (cuando corresponda).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El flujo del proceso de producción y procesamiento de 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empresa y los parámetros principales del proceso correspondientes deben ser científicos y estandarizados para garantizar la seguridad del producto, y se deben establecer medidas especiales de control de peligros o puntos de control críticos (PCC) en eslabones clave donde existan riesgos de seguridad.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6.2 Control de micotoxinas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de micotoxinas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las normas nacionales de seguridad alimentaria" (GB 2761)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informes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por muestreo que indiquen que las micotoxinas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en los productos producidos, procesados y almacenados cumplen con las normas nacionales de seguridad alimentaria de China.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Si el sistema de control de micotoxinas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en los productos de la planta procesadora despu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s de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n, procesamiento y almacenamiento es razonable.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2. Los resultados de las pruebas deben cumplir con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los est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ndares nacionales de seguridad alimentaria de China.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6.3 Uso de aditivos alimentarios y fortificantes nutricionales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(cuando corresponda)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 7.3 de las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nicas generales de las normas nacionales de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"Normas nacionales de seguridad alimentaria para el uso de aditivos alimentarios" (GB 2760)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3. "Est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ndar nacional de seguridad alimentaria para el uso de potenciadores nutricionales de los alimentos" (GB14880)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6.3 Proporcionar una lista de aditivos alimentarios y suplementos nutricionales utilizados en la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n y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procesamiento (incluidos nombres, usos, cantidades agregadas, etc.).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1. Los resultados de las pruebas deben cumplir con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los est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ndares nacionales de seguridad alimentaria de China.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7. Limpieza y desinfecci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7.1 Limpieza y desinfecci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8.2.1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7.1 Proporcionar medidas de limpieza y desinfecci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n, incluidos los m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todos y la frecuencia de limpieza y desinfecci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n, y la verificaci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los efectos de la limpieza y desinfecci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Las medidas de limpieza y desinfecci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poder eliminar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cruzada y cumplir los requisitos de higiene.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8. Control de productos qu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micos, desechos, plagas y roedores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Control qu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8.3 en "Normas nacionales de seguridad alimentaria,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(GB14881-2013).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8.1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Describa brevemente los requisitos de uso y almacenamiento de productos qu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micos.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1. El sistema de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productos qu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micos es razonable y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puede prevenir eficazmente que los productos qu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micos utilizados contaminen los productos.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8.2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sica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8.4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las normas nacionales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alimentos" (GB14881-2013)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8.2 Proporcionar sistemas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registros de tratamiento relacionados para prevenir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sica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Se debe establecer un sistema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para prevenir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por materias extrañas, se deben analizar las posibles fuentes y v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as de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se deben formular los planes y procedimientos de control correspondientes.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Se deben adoptar medidas como mantenimiento de equipos,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sanitaria,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in situ,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personal externo y supervisi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del proceso de procesamiento para maximizar la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Minimiza el riesgo de que los alimentos se contaminen con vidrio, metal, pl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stico y otras materias extrañas.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3. Se deben tomar medidas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eficaces, como pantallas, captadores, imanes y detectores de metales, para reducir el riesgo de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los alimentos por metales u otras materias extrañas.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8.3 Control de plagas y roedores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6.4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8.3 Proporcionar m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todos de control de plagas y planos de diseño. Si lo realiza un tercero, proporcione las calificaciones del tercero.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Debe evitarse el impacto de mosquitos, moscas y otras plagas de insectos y roedores sobre la seguridad e higiene de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8.4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de residuos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6,5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8.4 Proporcionar sistemas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residuos y registros de tratamiento relacionados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Los contenedores de productos comestibles y los contenedores de almacenamiento de residuos en el taller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estar claramente marcados y distinguidos.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Los residuos deben almacenarse por separado y procesarse a tiempo para evitar la contaminaci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9. Trazabilidad del producto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9.1 Trazabilidad y retirada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11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nicas generales de las normas nacionales de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9.1 Describa brevemente el procedimiento de trazabilidad del producto, tomando como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ejemplo el n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mero de lote de un lote de productos terminados para explicar c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mo rastrear el producto terminado hasta la materia prima.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1. Deben establecerse procedimientos de trazabilidad para lograr una trazabilidad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bidireccional de toda la cadena de materias primas, procesos de producci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procesamiento y productos terminados.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9.2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entrante y saliente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11 y 14.1 en "Especificaciones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de la norma nacional de seguridad alimentaria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alimentos" (GB14881)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9.2 Proporcionar gesti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n de entrada y salida de productos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Los productos deben inspeccionarse antes de ingresar al almac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 y se deben conservar registros de aceptaci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n, almacenamiento y salida. Los registros deben conservarse durante al menos 2 años.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10. Gesti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y formaci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 de personal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10.1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salud e higiene del personal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6.3 en "Normas nacionales de seguridad alimentaria, 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 " ( GB14881).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10.1 Proporcionar a los empleados requisitos de examen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sico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salud previos al empleo 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Antes de contratar empleados,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stos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someterse a un examen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sico y acreditar su idoneidad para trabajar en una empresa procesadora de alimentos.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Los empleados deben someterse a ex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menes 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sicos peri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dicos y mantener registros.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10.2 Formaci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del personal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12 en "Normas nacionales de seguridad alimentaria,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alimentos" (GB14881).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10.2 Proporcionar a los empleados planes, contenidos, evaluaciones y registros anuales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de capacitaci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El contenido de la capacitaci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debe cubrir los productos industriales de molienda de granos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exportados a China y los memorandos, acuerdos y protocolos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la malta, regulaciones y est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ndares chinos, etc.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10.3 Requisitos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13.3 en "Normas nacionales de seguridad alimentaria, 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nicas 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alimentos" (GB14881)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10.3 Proporcionar registros de capacitaci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para el personal de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sobre las regulaciones relevantes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s/regi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donde se encuentran los productos exportados y las leyes y regulaciones de sanidad vegetal y seguridad alimentaria de China, y realizar inspecciones al azar en el sitio y preguntas y respuestas cuando sea necesario.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Las capacidades comerciales del personal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empresa deben ser adecuadas para los requisitos del trabajo y deben estar familiarizados con las disposiciones pertinentes de las leyes y reglamentos de sanidad vegetal y seguridad alimentaria del pa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s/regi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de China, as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como el acuerdo firmado por ambas partes sobre la exportaci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productos industriales de molienda de cereales y malta a China y el presente pliego de condiciones.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Tener las calificaciones y habilidades adecuadas para su puesto de trabajo.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0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10"/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11.Autoexamen y autocontrol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11.Inspecci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del producto terminado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9 en "Normas nacionales de seguridad alimentaria, especificaciones higi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nicas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generales para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 alimentos" (GB14881)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m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ximos de residuos de pesticidas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la norma nacional de seguridad alimentaria " ( GB 2763)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3. "Normas Nacionales de Seguridad Alimentaria"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Normas para el uso de aditivos alimentarios (GB 2760)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4. "L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mites de micotoxinas en los alimentos seg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las normas nacionales de seguridad alimentaria" (GB 2761)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5. "Normas Nacionales de Seguridad Alimentaria"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mites de contaminantes en los alimentos (GB 2762)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11.1 Proporcionar elementos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del producto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terminado, indicadores, m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todos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frecuencia.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11.2 Si una empresa tiene su propio laboratorio, debe presentar pruebas de sus capacidades y calificaciones de laboratorio; si la empresa conf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 a un laboratorio de terceros, debe proporcionar las calificaciones del laboratorio confiado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;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1. Las empresas deben realizar pruebas fitosanitarias, de seguridad alimentaria y de otro tipo en sus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productos para garantizar el cumplimiento de los requisitos chinos y mantener registros de pruebas durante al menos dos años.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Las empresas deben tener capacidades de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prueba fitosanitarias y de seguridad alimentaria de los productos , o confiar la realizaci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inspecciones y pruebas a una instituci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con las calificaciones pertinentes.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12. Control de plagas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12.1 Prevenci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y control de plagas cuarentenarias que preocupan a China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Memorando, Acuerdo y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Moliner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 de Granos y Malta Exportados a China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12.1 La empresa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presentar una lista de plagas cuarentenarias de inter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s para China, as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como su sistema de seguimiento y sus resultados.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1. Las empresas deben tomar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medidas efectivas en el proceso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almacenamiento para evitar que los productos sean infectados por organismos nocivos, monitorear las plagas cuarentenarias que preocupan a China y mantener registros de monitoreo durante al menos dos años.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12.2 Identificaci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plagas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Memorando, Acuerdo y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Moliner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 de Granos y Malta Exportados a China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12.2 Las empresas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presentar registros de las plagas encontradas durante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el almacenamiento y registros de identificaci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las instituciones profesionales que se les hayan confiado.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Las empresas deben tener la capacidad de identificar los organismos nocivos encontrados durante la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el almacenamiento , o confiar a una organizaci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profesional la realizaci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la identificaci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el establecimiento de registros de trabajo, que deben conservarse durante al menos dos años.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12.3 Control de plagas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Memorando, Acuerdo y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Moliner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 de Granos y Malta Exportados a China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12.3 La empresa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presentar registros de las medidas de control de plagas implementadas en las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reas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y almacenamiento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Las empresas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implementar medidas de control de plagas en las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reas de producci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almacenamiento con regularidad o cuando sea necesario. Las medidas de prevenci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y control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pertinentes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registrarse y conservarse durante al menos dos años.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12.4 Tratamiento de fumigaci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(si es necesario)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Memorando, Acuerdo y Protocolo sobre Inspecci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y Cuarentena de Productos Industriales de Moliner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a de Granos y Malta Exportados a China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El m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todo de tratamiento de fumigaci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debe cumplir con los requisitos chinos, y las instituciones y el personal que implementa la fumigaci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deben tener las calificaciones o condiciones pertinentes.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No aplicable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45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13. Declaraci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ó</w:t>
            </w: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n</w:t>
            </w:r>
          </w:p>
        </w:tc>
      </w:tr>
      <w:tr w:rsidR="009E54CA">
        <w:trPr>
          <w:trHeight w:val="34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13.1 Declaraci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Corporativa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culos 8 y 9 del "Reglamento de la Rep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blica Popular China sobre el registro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empresas productoras en el extranjero de alimentos importados" (Orden de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 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tener la firma de la persona jur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dica y el sello de la empresa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4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13.2 Confirmaci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n por parte de la autoridad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competente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Art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culos 8 y 9 del "Reglamento de la Rep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blica Popular China sobre el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registro y gesti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de empresas productoras en el extranjero de alimentos importados" (Orden de la Administraci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 General de Aduanas N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º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Deber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estar firmado por la autoridad competente y sellado por la autoridad competente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Conforme a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No cumple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54CA" w:rsidRDefault="009E54CA">
      <w:pPr>
        <w:widowControl/>
        <w:spacing w:line="324" w:lineRule="atLeast"/>
        <w:jc w:val="left"/>
        <w:rPr>
          <w:rFonts w:ascii="Times New Roman" w:eastAsia="宋体" w:cs="宋体"/>
          <w:color w:val="000000"/>
          <w:kern w:val="0"/>
          <w:sz w:val="27"/>
          <w:szCs w:val="27"/>
        </w:rPr>
      </w:pPr>
    </w:p>
    <w:sectPr w:rsidR="009E54CA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AA" w:rsidRDefault="008F21AA" w:rsidP="003252AE">
      <w:r>
        <w:separator/>
      </w:r>
    </w:p>
  </w:endnote>
  <w:endnote w:type="continuationSeparator" w:id="0">
    <w:p w:rsidR="008F21AA" w:rsidRDefault="008F21AA" w:rsidP="003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8C" w:rsidRPr="00A56D8C" w:rsidRDefault="00A56D8C">
    <w:pPr>
      <w:pStyle w:val="a4"/>
      <w:rPr>
        <w:color w:val="A6A6A6" w:themeColor="background1" w:themeShade="A6"/>
      </w:rPr>
    </w:pPr>
    <w:r w:rsidRPr="00A56D8C">
      <w:rPr>
        <w:color w:val="A6A6A6" w:themeColor="background1" w:themeShade="A6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AA" w:rsidRDefault="008F21AA" w:rsidP="003252AE">
      <w:r>
        <w:separator/>
      </w:r>
    </w:p>
  </w:footnote>
  <w:footnote w:type="continuationSeparator" w:id="0">
    <w:p w:rsidR="008F21AA" w:rsidRDefault="008F21AA" w:rsidP="0032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2189F9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EC16CF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61929D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196F3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ACDE52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5303F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DB487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9FCE6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B94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DACC7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B"/>
    <w:rsid w:val="003252AE"/>
    <w:rsid w:val="0084461B"/>
    <w:rsid w:val="00895B87"/>
    <w:rsid w:val="008F21AA"/>
    <w:rsid w:val="009E54CA"/>
    <w:rsid w:val="00A56D8C"/>
    <w:rsid w:val="00A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4177</Words>
  <Characters>23813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2021-04-30T06:57:00Z</cp:lastPrinted>
  <dcterms:created xsi:type="dcterms:W3CDTF">2024-11-15T11:30:00Z</dcterms:created>
  <dcterms:modified xsi:type="dcterms:W3CDTF">2024-11-15T12:43:00Z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