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0F" w:rsidRDefault="00FA7739">
      <w:pPr>
        <w:spacing w:afterLines="100" w:after="292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Lista de niveles de riesgo y medidas de inspección y supervisión de cuarentena para productos animales no comestibles importados</w:t>
      </w: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4863"/>
        <w:gridCol w:w="1457"/>
        <w:gridCol w:w="5942"/>
      </w:tblGrid>
      <w:tr w:rsidR="003B5D0F">
        <w:trPr>
          <w:tblHeader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categoría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producto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ind w:firstLineChars="50" w:firstLine="111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nivel de riesgo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300" w:lineRule="exact"/>
              <w:ind w:firstLineChars="50" w:firstLine="121"/>
              <w:jc w:val="center"/>
              <w:rPr>
                <w:rFonts w:eastAsia="方正黑体简体"/>
                <w:b/>
                <w:spacing w:val="10"/>
                <w:sz w:val="24"/>
              </w:rPr>
            </w:pPr>
            <w:r>
              <w:rPr>
                <w:rFonts w:eastAsia="方正黑体简体"/>
                <w:b/>
                <w:spacing w:val="10"/>
                <w:sz w:val="24"/>
              </w:rPr>
              <w:t>Medidas de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piel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Cueros y pieles en bruto (frescas, secas, húmedas saladas, saladas, secas saladas, excepto anfibios y reptiles)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almacenamiento y almacenamiento en empresas designadas después de la entrada Procesado y sujeto a inspección y supervisión de cuarentena.</w:t>
            </w:r>
          </w:p>
        </w:tc>
      </w:tr>
      <w:tr w:rsidR="003B5D0F">
        <w:trPr>
          <w:trHeight w:val="1290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Pieles de anfibios y reptiles.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cuarentena de entrada de animales y plantas" antes de la entrada; se deben inspeccionar los certificados de cuarentena y se deben implementar la inspección y la cuarentena al ingresar.</w:t>
            </w:r>
          </w:p>
        </w:tc>
      </w:tr>
      <w:tr w:rsidR="003B5D0F">
        <w:trPr>
          <w:trHeight w:val="503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Cueros de animales sin curtir procesados con cueros grises (procesados en un ambiente con un valor de pH no inferior a 14 durante al menos 2 horas), cueros decapados (procesados en un ambiente con un valor de pH no superior a 2 durante al menos 1 hora) y otros métodos equivalentes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curtido de pieles de animales ( en zonas donde </w:t>
            </w:r>
            <w:r>
              <w:rPr>
                <w:rFonts w:eastAsia="方正仿宋简体" w:hint="eastAsia"/>
                <w:sz w:val="24"/>
              </w:rPr>
              <w:t>prevalecen enfermedades animales relevantes)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extranjero, inspección de certificados de cuarentena al ingresar e implementación de inspección y cuarentena.</w:t>
            </w:r>
          </w:p>
        </w:tc>
      </w:tr>
      <w:tr w:rsidR="003B5D0F">
        <w:trPr>
          <w:trHeight w:val="427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widowControl/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Pieles de animales curtidas ( sin zonas </w:t>
            </w:r>
            <w:r>
              <w:rPr>
                <w:rFonts w:eastAsia="方正仿宋简体"/>
                <w:sz w:val="24"/>
              </w:rPr>
              <w:lastRenderedPageBreak/>
              <w:t xml:space="preserve">endémicas de enfermedades animales relevantes 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lana y fibra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Lana en bruto, plumón en bruto, plumas y plumón sin lavar, cerdas y colas de animales sin procesar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almacenamiento y almacenamiento en empresas designadas después de la entrada Procesado y sujeto a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Lavar lana y terciopelo, lavar plumas y plumón, lavar pelo de caballo y de vaca (melena) y cola, hervir cerdas de cerdo y lavar pelusa de lana.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extranjero, inspección de certificados de cuarentena al ingresar e implementación de inspección y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Plumas decorativas desnatadas o teñidas, plumones, lana carbonizada, lana cardada, plumeros de seda cruda;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ángulo de la pezuña ósea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Huesos, pezuñas y cuernos de ungulados, roedores y aves, sin transformar ni transformar principalmente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 ; almacenamiento y almacenamiento en empresas designadas después de la entrada Procesado y sujeto a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Dientes de hipopótamo y demás dientes de animales, desgrasados (procesados a una temperatura mínima de 80°C durante al menos 30 minutos), huesos, pezuñas y cuernos de animales (excepto </w:t>
            </w:r>
            <w:r>
              <w:rPr>
                <w:rFonts w:eastAsia="方正仿宋简体"/>
                <w:sz w:val="24"/>
              </w:rPr>
              <w:lastRenderedPageBreak/>
              <w:t>anfibios y reptiles)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Nivel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Evaluación del sistema regulatorio del país o región exportador, registro de empresas de producción, procesamiento y almacenamiento en el extranjero; se debe obtener una "licencia de cuarentena de entrada de animales y plantas" antes de la </w:t>
            </w:r>
            <w:r>
              <w:rPr>
                <w:rFonts w:eastAsia="方正仿宋简体"/>
                <w:sz w:val="24"/>
              </w:rPr>
              <w:lastRenderedPageBreak/>
              <w:t>entrada; se deben inspeccionar los certificados de cuarentena y se deben implementar la inspección y la cuarentena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Huesos, conchas, cuernos, escamas y aceite de huesos de anfibios y reptiles.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extranjero, inspección de certificados de cuarentena al ingresar e implementación de inspección y cuarentena.</w:t>
            </w:r>
          </w:p>
        </w:tc>
      </w:tr>
      <w:tr w:rsidR="003B5D0F">
        <w:trPr>
          <w:trHeight w:val="382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Huesos, pezuñas, cuernos y dientes de animales fósiles, como dientes de mamut; artefactos culturales elaborados a partir de huesos, pezuñas, cuernos y dientes de animales profundamente procesados, cuencos para moler, cucharas de té, peines, calzadores y otros cuernos de animales procesados a partir de cuernos de animales;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grasa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Tejido adiposo animal sin procesar (excluidos anfibios y reptiles) y sus aceites prensados en frío, aceites de rumiantes no refinados a alta temperatura procedentes de países o regiones con riesgo insignificante de EEB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almacenamiento y almacenamiento en empresas designadas después de la entrada Procesado y sujeto a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lanolina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grasas animales refinadas a alta temperatura (no inferiores a 80 °C durante al menos 30 minutos) </w:t>
            </w:r>
            <w:r>
              <w:rPr>
                <w:rFonts w:eastAsia="方正仿宋简体" w:hint="eastAsia"/>
                <w:sz w:val="24"/>
              </w:rPr>
              <w:t xml:space="preserve">( </w:t>
            </w:r>
            <w:r>
              <w:rPr>
                <w:rFonts w:eastAsia="方正仿宋简体"/>
                <w:sz w:val="24"/>
              </w:rPr>
              <w:t xml:space="preserve">excepto grasas de rumiantes refinadas a alta temperatura en países o regiones donde los riesgos de EEB son insignificantes </w:t>
            </w:r>
            <w:r>
              <w:rPr>
                <w:rFonts w:eastAsia="方正仿宋简体" w:hint="eastAsia"/>
                <w:sz w:val="24"/>
              </w:rPr>
              <w:t xml:space="preserve">) </w:t>
            </w:r>
            <w:r>
              <w:rPr>
                <w:rFonts w:eastAsia="方正仿宋简体"/>
                <w:sz w:val="24"/>
              </w:rPr>
              <w:t>, grasas de anfibios y reptiles;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extranjero, inspección de certificados de cuarentena al ingresar e implementación de inspección y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Aceites y grasas de anfibios y reptiles refinados a </w:t>
            </w:r>
            <w:r>
              <w:rPr>
                <w:rFonts w:eastAsia="方正仿宋简体"/>
                <w:sz w:val="24"/>
              </w:rPr>
              <w:lastRenderedPageBreak/>
              <w:t>alta temperatura (no menos de 80°C durante al menos 30 minutos)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trHeight w:val="430"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taxidermia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Especímenes de animales conservados.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productos de gusanos de seda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Capullos de gusano de seda sin procesar, crisálidas de gusano de seda, capullos cortados, asadores largos, cabezas estancadas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almacenamiento y almacenamiento en empresas designadas después de la entrada Procesado y sujeto a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luomiano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inspección de certificados de cuarentena e implementación de inspección y cuarentena al ingreso;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seda cruda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productos de abejas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Panal crudo, cera de abejas, propóleo.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se deben inspeccionar los certificados de cuarentena y se deben implementar la inspección y la cuarentena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tabs>
                <w:tab w:val="left" w:pos="675"/>
              </w:tabs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Otros productos de las abejas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exportador; inspección de certificados de cuarentena e implementación de inspección y cuarentena al ingreso.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Productos acuáticos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Productos acuáticos y subproductos de animales acuáticos sin procesar o procesados primariamente, como caparazones de camarón, caparazones de cangrejo y conchas de almeja.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Evaluación del sistema regulatorio del país o región exportador, registro de empresas de producción, procesamiento y almacenamiento en el extranjero; se debe obtener una "licencia de entrada de cuarentena animal y vegetal" antes de la entrada; se </w:t>
            </w:r>
            <w:r>
              <w:rPr>
                <w:rFonts w:eastAsia="方正仿宋简体"/>
                <w:sz w:val="24"/>
              </w:rPr>
              <w:lastRenderedPageBreak/>
              <w:t>deben inspeccionar los certificados de cuarentena y se deben implementar la inspección y la cuarentena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Pieles, espinas, escamas y aceites de espinas y aceites de cuerpos blandos;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exportador; inspección de certificados de cuarentena e implementación de inspección y cuarentena al ingreso.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Conchas procesadas, conchas de camarón, conchas de cangrejo y otros subproductos de animales acuáticos; corales y sus perlas y sus productos; esponjas naturales y sus productos;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Otros productos animales no alimentarios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Despojos, tejidos y jugos digestivos de animales no procesados o principalmente procesados.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entrada de cuarentena animal y vegetal" antes de la entrada; almacenamiento y almacenamiento en empresas designadas después de la entrada Procesado y sujeto a inspección y supervisión de cuarentena.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Fertilizantes de origen animal, pegamento para huesos no derivado de la EEB de países o regiones con riesgo insignificante de EEB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exportador, registro de empresas de producción, procesamiento y almacenamiento en el extranjero; se debe obtener una "licencia de cuarentena de entrada de animales y plantas" antes de la entrada; se deben inspeccionar los certificados de cuarentena y se deben implementar la inspección y la cuarentena al ingresar.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Productos derivados de la leche profundamente procesados o refinados, como la caseína, subproductos de origen animal profundamente procesados o refinados, como el sulfato de condroitina, el fosfato de calcio dibásico y las sales biliares, y otras gelatinas de origen animal (excluidos </w:t>
            </w:r>
            <w:r>
              <w:rPr>
                <w:rFonts w:eastAsia="方正仿宋简体"/>
                <w:sz w:val="24"/>
              </w:rPr>
              <w:lastRenderedPageBreak/>
              <w:t>los países sin riesgo insignificante de EEB) O pegamento para huesos regional derivado de ganado vacuno y ovino)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Nivel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Evaluación del sistema regulatorio del país o región exportadora; inspección de certificados de cuarentena e implementación de inspección y cuarentena al ingreso.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Tejidos y órganos animales desnaturalizados químicamente para investigación científica; gelatina industrial para investigación científica;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Nivel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 inspección y la cuarentena se implementan al ingresar.</w:t>
            </w:r>
          </w:p>
        </w:tc>
      </w:tr>
    </w:tbl>
    <w:p w:rsidR="003B5D0F" w:rsidRDefault="003B5D0F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</w:p>
    <w:p w:rsidR="003B5D0F" w:rsidRDefault="00FA7739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Observación: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1. Los productos con riesgos de nivel II e inferiores no están sujetos a restricciones epidémicas, como la fiebre aftosa y la gripe aviar, pero deben cumplir requisitos de salud veterinaria, como el Código de la OIE, entre las enfermedades animales pertinentes, incluida la fiebre aftosa; , gripe aviar, dermatosis nodular bovina, viruela ovina y viruela caprina, peste porcina africana y peste porcina.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2. Los países o regiones con riesgos insignificantes de EEB serán evaluados y determinados por la Administración General de Aduanas.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3. Definición de producto relevante: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El desprendimiento de lana se refiere al cabello roto y suelto que se peina después de que la lana cruda haya sido tratada con altas temperaturas y ácido, especialmente después del proceso de carbonización y deshierbe.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El hilado largo se refiere a la materia prima del hilado de seda procesada a partir de las sucias fibras de seda extraídas de los capullos de gusanos de seda durante el proceso de bobinado.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Zhitou se refiere a la materia prima del hilado de seda procesada y clasificada a partir del revestimiento de la pupa que queda después de que se ha enrollado el capullo del gusano de seda.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lastRenderedPageBreak/>
        <w:t>La borra se refiere a las fibras cortas que quedan después de que las materias primas del hilado de seda (fibras largas, fibras retrasadas, etc.) hayan sido refinadas y peinadas circularmente para extraer las fibras largas.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La seda cruda se refiere al producto obtenido devanando capullos de gusanos de seda (hirviendo la seda en agua tibia a 80°C, etc.).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4. Esta lista es para referencia y ajuste dinámico durante la aprobación de la cuarentena de entrada y otros trabajos.</w:t>
      </w:r>
    </w:p>
    <w:sectPr w:rsidR="003B5D0F">
      <w:headerReference w:type="default" r:id="rId7"/>
      <w:footerReference w:type="even" r:id="rId8"/>
      <w:footerReference w:type="default" r:id="rId9"/>
      <w:pgSz w:w="16838" w:h="11906" w:orient="landscape"/>
      <w:pgMar w:top="1644" w:right="1701" w:bottom="1644" w:left="170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40" w:rsidRDefault="003D1B40">
      <w:r>
        <w:separator/>
      </w:r>
    </w:p>
  </w:endnote>
  <w:endnote w:type="continuationSeparator" w:id="0">
    <w:p w:rsidR="003D1B40" w:rsidRDefault="003D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永中楷体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3B5D0F" w:rsidRDefault="00FA7739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:rsidR="003B5D0F" w:rsidRDefault="003B5D0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 w:rsidR="00140D9E">
      <w:rPr>
        <w:rStyle w:val="ac"/>
        <w:noProof/>
      </w:rPr>
      <w:t>7</w:t>
    </w:r>
    <w:r>
      <w:rPr>
        <w:rStyle w:val="ac"/>
      </w:rPr>
      <w:fldChar w:fldCharType="end"/>
    </w:r>
  </w:p>
  <w:p w:rsidR="003B5D0F" w:rsidRDefault="003B5D0F">
    <w:pPr>
      <w:pStyle w:val="a8"/>
      <w:framePr w:wrap="around" w:vAnchor="text" w:hAnchor="margin" w:xAlign="outside" w:y="1"/>
      <w:rPr>
        <w:rStyle w:val="ac"/>
        <w:rFonts w:ascii="宋体"/>
        <w:sz w:val="28"/>
        <w:szCs w:val="28"/>
      </w:rPr>
    </w:pPr>
  </w:p>
  <w:p w:rsidR="003B5D0F" w:rsidRDefault="003B5D0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40" w:rsidRDefault="003D1B40">
      <w:r>
        <w:separator/>
      </w:r>
    </w:p>
  </w:footnote>
  <w:footnote w:type="continuationSeparator" w:id="0">
    <w:p w:rsidR="003D1B40" w:rsidRDefault="003D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3" w:rsidRPr="00093783" w:rsidRDefault="00140D9E" w:rsidP="00093783">
    <w:pPr>
      <w:jc w:val="right"/>
      <w:rPr>
        <w:color w:val="808080" w:themeColor="background1" w:themeShade="80"/>
      </w:rPr>
    </w:pPr>
    <w:r w:rsidRPr="00140D9E">
      <w:rPr>
        <w:color w:val="808080" w:themeColor="background1" w:themeShade="80"/>
      </w:rPr>
      <w:t>registry@foodgacc.com  +86-18911244880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4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B5D0F"/>
    <w:rsid w:val="00093783"/>
    <w:rsid w:val="00140D9E"/>
    <w:rsid w:val="003B5D0F"/>
    <w:rsid w:val="003D1B40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1831</Words>
  <Characters>10442</Characters>
  <Application>Microsoft Office Word</Application>
  <DocSecurity>0</DocSecurity>
  <Lines>87</Lines>
  <Paragraphs>24</Paragraphs>
  <ScaleCrop>false</ScaleCrop>
  <Company>Legend (Beijing) Limited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wys/文印室/办公厅/aqsiq</dc:creator>
  <cp:lastModifiedBy>admin</cp:lastModifiedBy>
  <cp:revision>16</cp:revision>
  <cp:lastPrinted>2009-08-31T02:35:00Z</cp:lastPrinted>
  <dcterms:created xsi:type="dcterms:W3CDTF">2019-04-28T03:33:00Z</dcterms:created>
  <dcterms:modified xsi:type="dcterms:W3CDTF">2024-12-04T09:28:00Z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